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0"/>
        <w:jc w:val="left"/>
        <w:textAlignment w:val="auto"/>
        <w:rPr>
          <w:rFonts w:hint="default" w:ascii="Times New Roman" w:hAnsi="Times New Roman" w:cs="Times New Roman"/>
          <w:b w:val="0"/>
          <w:sz w:val="30"/>
          <w:szCs w:val="30"/>
        </w:rPr>
      </w:pPr>
      <w:r>
        <w:rPr>
          <w:rFonts w:hint="default" w:ascii="Times New Roman" w:hAnsi="Times New Roman" w:eastAsia="黑体" w:cs="Times New Roman"/>
          <w:b w:val="0"/>
          <w:spacing w:val="0"/>
          <w:sz w:val="32"/>
          <w:szCs w:val="32"/>
        </w:rPr>
        <w:t>附件</w:t>
      </w:r>
      <w:r>
        <w:rPr>
          <w:rFonts w:hint="default" w:ascii="Times New Roman" w:hAnsi="Times New Roman" w:cs="Times New Roman"/>
          <w:b w:val="0"/>
          <w:spacing w:val="0"/>
          <w:sz w:val="32"/>
          <w:szCs w:val="32"/>
        </w:rPr>
        <w:t>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default" w:ascii="Times New Roman" w:hAnsi="Times New Roman" w:cs="Times New Roman"/>
          <w:b w:val="0"/>
          <w:sz w:val="30"/>
          <w:szCs w:val="30"/>
        </w:rPr>
      </w:pPr>
      <w:r>
        <w:rPr>
          <w:rFonts w:hint="default" w:ascii="Times New Roman" w:hAnsi="Times New Roman" w:eastAsia="方正小标宋简体" w:cs="Times New Roman"/>
          <w:b w:val="0"/>
          <w:spacing w:val="0"/>
          <w:sz w:val="44"/>
          <w:szCs w:val="44"/>
        </w:rPr>
        <w:t>部分指标和要求说明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二、所称拥有自主品牌是指主营业务产品或服务具有自主知识产权，且符合下列条件之一：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1.产品或服务品牌已经国家知识产权局商标局正式注册。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2.产品或服务已经实现收入。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三、所称“Ⅰ类知识产权”包括发明专利（含国防专利）、植物新品种、国家级农作物品种、国家新药、国家一级中药保护品种、集成电路布图设计专有权（均不包含转让未满1年的知识产权）。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四、所称“Ⅰ类高价值知识产权”须符合以下条件之一：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1.在海外有同族专利权的发明专利或在海外取得收入的其他Ⅰ类知识产权，其中专利限G20成员、新加坡以及欧洲专利局经实质审查后获得授权的发明专利。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2.维持年限超过10年的Ⅰ类知识产权。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3.实现较高质押融资金额的Ⅰ类知识产权。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b w:val="0"/>
          <w:spacing w:val="0"/>
          <w:sz w:val="32"/>
          <w:szCs w:val="32"/>
        </w:rPr>
        <w:t>4.获得国家科学技术奖或中国专利奖的Ⅰ类知识产权。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五、所称“Ⅱ类知识产权”包括与主导产品相关的软件著作权（不含商标）、授权后维持超过2年的实用新型专利或外观设计专利（均不包含转让未满1年的知识产权）。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六、所称“企业数字化转型水平”是指在优质中小企业梯度培育平台完成数字化水平免费自测，具体自测网址、相关标准等事宜，另行明确。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八、所称“股权融资”是指公司股东稀释部分公司股权给投资人，以增资扩股（出让股权不超过30%）的方式引进新的股东，从而取得公司融资的方式。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b w:val="0"/>
          <w:spacing w:val="0"/>
          <w:sz w:val="32"/>
          <w:szCs w:val="32"/>
        </w:rPr>
      </w:pPr>
      <w:r>
        <w:rPr>
          <w:rFonts w:hint="default" w:ascii="Times New Roman" w:hAnsi="Times New Roman" w:eastAsia="仿宋" w:cs="Times New Roman"/>
          <w:b w:val="0"/>
          <w:spacing w:val="0"/>
          <w:sz w:val="32"/>
          <w:szCs w:val="32"/>
        </w:rPr>
        <w:t>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十、所称“主导产品”是指企业核心技术在产品中发挥重要作用，且产品收入之和占企业同期营业收入比重超过50%。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十一、所称“主导产品在全国细分市场占有率达10%以上，且享有较高知名度和影响力”可通过企业自证或其他方式佐证。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十二、所称“省级科技奖励”包括各省、自治区、直辖市科学技术奖的一、二、三等奖；“国家级科技奖励”包括国家科学技术进步奖、国家自然科学奖、国家技术发明奖，以及国防科技奖。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十三、如无特殊说明，所称“以上”、“以下”，包括本数；所称的“超过”，不包括本数。在计算评价指标得分时，如指标值位于两个评分区间边界上，按高分计算得分。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十四、本办法部分指标计算公式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近2年主营业务收入平均增长率=（企业上一年度主营业务收入增长率+企业上上年度主营业务收入增长率）/2。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企业上一年度主营业务收入增长率=（企业上一年度主营业务收入总额-企业上上年度主营业务收入总额）/企业上上年度主营业务收入总额*100%。其他年度主营业务收入增长率计算方法以此类推。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十五、所称“被列入经营异常名录”以国家企业信用信息公示系统（</w:t>
      </w:r>
      <w:r>
        <w:rPr>
          <w:rFonts w:hint="default" w:ascii="Times New Roman" w:hAnsi="Times New Roman" w:eastAsia="仿宋" w:cs="Times New Roman"/>
          <w:color w:val="333333"/>
          <w:sz w:val="32"/>
          <w:szCs w:val="32"/>
          <w:u w:val="none"/>
        </w:rPr>
        <w:fldChar w:fldCharType="begin"/>
      </w:r>
      <w:r>
        <w:rPr>
          <w:rFonts w:hint="default" w:ascii="Times New Roman" w:hAnsi="Times New Roman" w:eastAsia="仿宋" w:cs="Times New Roman"/>
          <w:color w:val="333333"/>
          <w:sz w:val="32"/>
          <w:szCs w:val="32"/>
          <w:u w:val="none"/>
        </w:rPr>
        <w:instrText xml:space="preserve"> HYPERLINK "http://www.gsxt.gov.cn/" </w:instrText>
      </w:r>
      <w:r>
        <w:rPr>
          <w:rFonts w:hint="default" w:ascii="Times New Roman" w:hAnsi="Times New Roman" w:eastAsia="仿宋" w:cs="Times New Roman"/>
          <w:color w:val="333333"/>
          <w:sz w:val="32"/>
          <w:szCs w:val="32"/>
          <w:u w:val="none"/>
        </w:rPr>
        <w:fldChar w:fldCharType="separate"/>
      </w:r>
      <w:r>
        <w:rPr>
          <w:rStyle w:val="7"/>
          <w:rFonts w:hint="default" w:ascii="Times New Roman" w:hAnsi="Times New Roman" w:eastAsia="仿宋" w:cs="Times New Roman"/>
          <w:b w:val="0"/>
          <w:color w:val="333333"/>
          <w:spacing w:val="0"/>
          <w:sz w:val="32"/>
          <w:szCs w:val="32"/>
          <w:u w:val="none"/>
        </w:rPr>
        <w:t>http://www.gsxt.gov.cn</w:t>
      </w:r>
      <w:r>
        <w:rPr>
          <w:rFonts w:hint="default" w:ascii="Times New Roman" w:hAnsi="Times New Roman" w:eastAsia="仿宋" w:cs="Times New Roman"/>
          <w:color w:val="333333"/>
          <w:sz w:val="32"/>
          <w:szCs w:val="32"/>
          <w:u w:val="none"/>
        </w:rPr>
        <w:fldChar w:fldCharType="end"/>
      </w:r>
      <w:r>
        <w:rPr>
          <w:rFonts w:hint="default" w:ascii="Times New Roman" w:hAnsi="Times New Roman" w:eastAsia="仿宋" w:cs="Times New Roman"/>
          <w:b w:val="0"/>
          <w:spacing w:val="0"/>
          <w:sz w:val="32"/>
          <w:szCs w:val="32"/>
        </w:rPr>
        <w:t>）查询结果为准；所称“严重失信主体名单”以信用中国（</w:t>
      </w:r>
      <w:r>
        <w:rPr>
          <w:rFonts w:hint="default" w:ascii="Times New Roman" w:hAnsi="Times New Roman" w:eastAsia="仿宋" w:cs="Times New Roman"/>
          <w:color w:val="333333"/>
          <w:sz w:val="32"/>
          <w:szCs w:val="32"/>
          <w:u w:val="none"/>
        </w:rPr>
        <w:fldChar w:fldCharType="begin"/>
      </w:r>
      <w:r>
        <w:rPr>
          <w:rFonts w:hint="default" w:ascii="Times New Roman" w:hAnsi="Times New Roman" w:eastAsia="仿宋" w:cs="Times New Roman"/>
          <w:color w:val="333333"/>
          <w:sz w:val="32"/>
          <w:szCs w:val="32"/>
          <w:u w:val="none"/>
        </w:rPr>
        <w:instrText xml:space="preserve"> HYPERLINK "http://www.creditchina.gov.cn/" </w:instrText>
      </w:r>
      <w:r>
        <w:rPr>
          <w:rFonts w:hint="default" w:ascii="Times New Roman" w:hAnsi="Times New Roman" w:eastAsia="仿宋" w:cs="Times New Roman"/>
          <w:color w:val="333333"/>
          <w:sz w:val="32"/>
          <w:szCs w:val="32"/>
          <w:u w:val="none"/>
        </w:rPr>
        <w:fldChar w:fldCharType="separate"/>
      </w:r>
      <w:r>
        <w:rPr>
          <w:rStyle w:val="7"/>
          <w:rFonts w:hint="default" w:ascii="Times New Roman" w:hAnsi="Times New Roman" w:eastAsia="仿宋" w:cs="Times New Roman"/>
          <w:b w:val="0"/>
          <w:color w:val="333333"/>
          <w:spacing w:val="0"/>
          <w:sz w:val="32"/>
          <w:szCs w:val="32"/>
          <w:u w:val="none"/>
        </w:rPr>
        <w:t>http://www.creditchina.gov.cn</w:t>
      </w:r>
      <w:r>
        <w:rPr>
          <w:rFonts w:hint="default" w:ascii="Times New Roman" w:hAnsi="Times New Roman" w:eastAsia="仿宋" w:cs="Times New Roman"/>
          <w:color w:val="333333"/>
          <w:sz w:val="32"/>
          <w:szCs w:val="32"/>
          <w:u w:val="none"/>
        </w:rPr>
        <w:fldChar w:fldCharType="end"/>
      </w:r>
      <w:r>
        <w:rPr>
          <w:rFonts w:hint="default" w:ascii="Times New Roman" w:hAnsi="Times New Roman" w:eastAsia="仿宋" w:cs="Times New Roman"/>
          <w:b w:val="0"/>
          <w:spacing w:val="0"/>
          <w:sz w:val="32"/>
          <w:szCs w:val="32"/>
        </w:rPr>
        <w:t>） 查询结果为准。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spacing w:val="0"/>
          <w:sz w:val="32"/>
          <w:szCs w:val="32"/>
        </w:rPr>
        <w:t>十六、所称“创客中国”中小企业创新创业大赛全国500强、50强企业组名单是指该大赛2021年以来正式发布的名单。</w:t>
      </w:r>
    </w:p>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auto"/>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6D66F3"/>
    <w:rsid w:val="EF6D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2022-11-03T14:36:00Z</dcterms:created>
  <dc:creator>user</dc:creator>
  <cp:lastModifiedBy>user</cp:lastModifiedBy>
  <dcterms:modified xsi:type="dcterms:W3CDTF">2022-11-03T14:37:02Z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