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70" w:lineRule="exact"/>
        <w:ind w:left="0" w:right="0" w:firstLine="0"/>
        <w:jc w:val="both"/>
        <w:textAlignment w:val="auto"/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70" w:lineRule="exact"/>
        <w:ind w:left="0" w:right="0" w:firstLine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spacing w:val="0"/>
          <w:sz w:val="44"/>
          <w:szCs w:val="44"/>
        </w:rPr>
        <w:t>创新型中小企业评价标准</w:t>
      </w:r>
      <w:r>
        <w:rPr>
          <w:rFonts w:hint="default" w:ascii="Times New Roman" w:hAnsi="Times New Roman" w:eastAsia="仿宋" w:cs="Times New Roman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spacing w:val="0"/>
          <w:sz w:val="32"/>
          <w:szCs w:val="32"/>
        </w:rPr>
        <w:t>一、公告条件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评价得分达到60分以上（其中创新能力指标得分不低于20分、成长性指标及专业化指标得分均不低于15分），或满足下列条件之一：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（一）近三年内获得过国家级、省级科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技奖励。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（二）获得高新技术企业、国家级技术创新示范企业、知识产权优势企业和知识产权示范企业等荣誉（均为有效期内）。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（三）拥有经认定的省部级以上研发机构。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    （四）近三年新增股权融资总额（合格机构投资者的实缴额）500万元以上。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spacing w:val="0"/>
          <w:sz w:val="32"/>
          <w:szCs w:val="32"/>
        </w:rPr>
        <w:t>二、评价指标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包括创新能力、成长性、专业化三类六个指标，评价结果依分值计算，满分为100分。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/>
        <w:textAlignment w:val="auto"/>
        <w:rPr>
          <w:rFonts w:hint="default" w:ascii="Times New Roman" w:hAnsi="Times New Roman" w:cs="Times New Roman"/>
          <w:b w:val="0"/>
          <w:sz w:val="27"/>
          <w:szCs w:val="27"/>
        </w:rPr>
      </w:pPr>
      <w:r>
        <w:rPr>
          <w:rFonts w:hint="default" w:ascii="Times New Roman" w:hAnsi="Times New Roman" w:eastAsia="楷体" w:cs="Times New Roman"/>
          <w:b/>
          <w:spacing w:val="0"/>
          <w:sz w:val="32"/>
          <w:szCs w:val="32"/>
        </w:rPr>
        <w:t>（一）创新能力指标（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40</w:t>
      </w:r>
      <w:r>
        <w:rPr>
          <w:rFonts w:hint="default" w:ascii="Times New Roman" w:hAnsi="Times New Roman" w:eastAsia="楷体" w:cs="Times New Roman"/>
          <w:b/>
          <w:spacing w:val="0"/>
          <w:sz w:val="32"/>
          <w:szCs w:val="32"/>
        </w:rPr>
        <w:t>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1.与企业主导产品相关的有效知识产权数量（20分）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A.Ⅰ类高价值知识产权1项以上（20分）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B.自主研发的Ⅰ类知识产权1项以上（15分）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C.Ⅰ类知识产权1项以上（10分）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D.Ⅱ类知识产权1项以上（5分）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E.无（0分）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  <w:b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上年度研发费用总额占营业收入总额比重（</w:t>
      </w: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A. 5%以上（20分）    B. 3%-5%（15分）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C. 2%-3%（10分）     D. 1%-2%（5分）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E. 1%以下（0分）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/>
        <w:textAlignment w:val="auto"/>
        <w:rPr>
          <w:rFonts w:hint="default" w:ascii="Times New Roman" w:hAnsi="Times New Roman" w:cs="Times New Roman"/>
          <w:b w:val="0"/>
          <w:sz w:val="27"/>
          <w:szCs w:val="27"/>
        </w:rPr>
      </w:pPr>
      <w:r>
        <w:rPr>
          <w:rFonts w:hint="default" w:ascii="Times New Roman" w:hAnsi="Times New Roman" w:eastAsia="楷体" w:cs="Times New Roman"/>
          <w:b/>
          <w:spacing w:val="0"/>
          <w:sz w:val="32"/>
          <w:szCs w:val="32"/>
        </w:rPr>
        <w:t>（二）成长性指标（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30</w:t>
      </w:r>
      <w:r>
        <w:rPr>
          <w:rFonts w:hint="default" w:ascii="Times New Roman" w:hAnsi="Times New Roman" w:eastAsia="楷体" w:cs="Times New Roman"/>
          <w:b/>
          <w:spacing w:val="0"/>
          <w:sz w:val="32"/>
          <w:szCs w:val="32"/>
        </w:rPr>
        <w:t>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3.上年度主营业务收入增长率（20分）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A. 15%以上（20分）   B. 10%-15%（15分）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C. 5%-10%（10分）    D. 0%-5%（5分）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E. 0%以下（0分）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  <w:b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上年度资产负债率（</w:t>
      </w: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A. 55%以下（10分）   B. 55%-75%（5分）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C. 75%以上（0分）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/>
        <w:textAlignment w:val="auto"/>
        <w:rPr>
          <w:rFonts w:hint="default" w:ascii="Times New Roman" w:hAnsi="Times New Roman" w:cs="Times New Roman"/>
          <w:b w:val="0"/>
          <w:sz w:val="27"/>
          <w:szCs w:val="27"/>
        </w:rPr>
      </w:pPr>
      <w:r>
        <w:rPr>
          <w:rFonts w:hint="default" w:ascii="Times New Roman" w:hAnsi="Times New Roman" w:eastAsia="楷体" w:cs="Times New Roman"/>
          <w:b/>
          <w:spacing w:val="0"/>
          <w:sz w:val="32"/>
          <w:szCs w:val="32"/>
        </w:rPr>
        <w:t>（三）专业化指标（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30</w:t>
      </w:r>
      <w:r>
        <w:rPr>
          <w:rFonts w:hint="default" w:ascii="Times New Roman" w:hAnsi="Times New Roman" w:eastAsia="楷体" w:cs="Times New Roman"/>
          <w:b/>
          <w:spacing w:val="0"/>
          <w:sz w:val="32"/>
          <w:szCs w:val="32"/>
        </w:rPr>
        <w:t>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5.主导产品所属领域情况（10分）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A. 属于《战略性新兴产业分类》（10分）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B. 属于其他领域（5分）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  <w:b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6.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上年度主营业务收入总额占营业收入总额比重（</w:t>
      </w: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A. 70%以上（20分）  B. 60%-70%（15分）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C. 55%-60%（10分）  D. 50%-55%（5分）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E. 50%以下（0分）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76A5A"/>
    <w:rsid w:val="7FD59F4B"/>
    <w:rsid w:val="DF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2022-11-03T14:00:00Z</dcterms:created>
  <dc:creator>user</dc:creator>
  <cp:lastModifiedBy>user</cp:lastModifiedBy>
  <dcterms:modified xsi:type="dcterms:W3CDTF">2022-11-03T14:01:25Z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